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E9" w:rsidRPr="00051670" w:rsidRDefault="00525DE9" w:rsidP="00525DE9">
      <w:pPr>
        <w:shd w:val="clear" w:color="auto" w:fill="FFFFFF"/>
        <w:ind w:left="6379"/>
        <w:jc w:val="both"/>
        <w:rPr>
          <w:color w:val="242B2E"/>
          <w:sz w:val="28"/>
          <w:szCs w:val="28"/>
        </w:rPr>
      </w:pPr>
      <w:r w:rsidRPr="00051670">
        <w:rPr>
          <w:b/>
          <w:bCs/>
          <w:color w:val="000000"/>
          <w:sz w:val="28"/>
          <w:szCs w:val="28"/>
        </w:rPr>
        <w:t xml:space="preserve">Додаток </w:t>
      </w:r>
      <w:r>
        <w:rPr>
          <w:b/>
          <w:bCs/>
          <w:color w:val="000000"/>
          <w:sz w:val="28"/>
          <w:szCs w:val="28"/>
        </w:rPr>
        <w:t>3</w:t>
      </w:r>
    </w:p>
    <w:p w:rsidR="00525DE9" w:rsidRPr="00051670" w:rsidRDefault="00525DE9" w:rsidP="00525DE9">
      <w:pPr>
        <w:shd w:val="clear" w:color="auto" w:fill="FFFFFF"/>
        <w:ind w:left="6379"/>
        <w:jc w:val="both"/>
        <w:rPr>
          <w:color w:val="242B2E"/>
          <w:sz w:val="28"/>
          <w:szCs w:val="28"/>
        </w:rPr>
      </w:pPr>
      <w:r w:rsidRPr="00051670">
        <w:rPr>
          <w:b/>
          <w:bCs/>
          <w:color w:val="000000"/>
          <w:sz w:val="28"/>
          <w:szCs w:val="28"/>
        </w:rPr>
        <w:t>до рішення районної ради</w:t>
      </w:r>
    </w:p>
    <w:p w:rsidR="00525DE9" w:rsidRPr="003A3E41" w:rsidRDefault="00525DE9" w:rsidP="00525DE9">
      <w:pPr>
        <w:shd w:val="clear" w:color="auto" w:fill="FFFFFF"/>
        <w:ind w:left="6379"/>
        <w:jc w:val="both"/>
        <w:rPr>
          <w:b/>
          <w:bCs/>
          <w:color w:val="000000"/>
          <w:sz w:val="28"/>
          <w:szCs w:val="28"/>
          <w:lang w:val="uk-UA"/>
        </w:rPr>
      </w:pPr>
      <w:r w:rsidRPr="00051670">
        <w:rPr>
          <w:b/>
          <w:bCs/>
          <w:color w:val="000000"/>
          <w:sz w:val="28"/>
          <w:szCs w:val="28"/>
        </w:rPr>
        <w:t xml:space="preserve">від </w:t>
      </w:r>
      <w:r>
        <w:rPr>
          <w:b/>
          <w:bCs/>
          <w:color w:val="000000"/>
          <w:sz w:val="28"/>
          <w:szCs w:val="28"/>
          <w:lang w:val="uk-UA"/>
        </w:rPr>
        <w:t>30.07.2024</w:t>
      </w:r>
      <w:r w:rsidRPr="00051670">
        <w:rPr>
          <w:b/>
          <w:bCs/>
          <w:color w:val="000000"/>
          <w:sz w:val="28"/>
          <w:szCs w:val="28"/>
        </w:rPr>
        <w:t xml:space="preserve"> №</w:t>
      </w:r>
      <w:r>
        <w:rPr>
          <w:b/>
          <w:bCs/>
          <w:color w:val="000000"/>
          <w:sz w:val="28"/>
          <w:szCs w:val="28"/>
          <w:lang w:val="uk-UA"/>
        </w:rPr>
        <w:t>350</w:t>
      </w:r>
    </w:p>
    <w:p w:rsidR="00525DE9" w:rsidRDefault="00525DE9" w:rsidP="00525DE9">
      <w:pPr>
        <w:ind w:right="-284"/>
        <w:rPr>
          <w:b/>
          <w:sz w:val="28"/>
          <w:szCs w:val="28"/>
          <w:lang w:val="uk-UA"/>
        </w:rPr>
      </w:pPr>
    </w:p>
    <w:p w:rsidR="00525DE9" w:rsidRPr="00883956" w:rsidRDefault="00525DE9" w:rsidP="0052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42B2E"/>
          <w:sz w:val="28"/>
          <w:szCs w:val="28"/>
          <w:lang w:val="uk-UA"/>
        </w:rPr>
      </w:pPr>
      <w:r w:rsidRPr="00883956">
        <w:rPr>
          <w:b/>
          <w:bCs/>
          <w:sz w:val="28"/>
          <w:szCs w:val="28"/>
          <w:bdr w:val="none" w:sz="0" w:space="0" w:color="auto" w:frame="1"/>
          <w:lang w:val="uk-UA"/>
        </w:rPr>
        <w:t xml:space="preserve">Склад комісії з прийому-передачі земельних ділянок  </w:t>
      </w:r>
      <w:r>
        <w:rPr>
          <w:b/>
          <w:bCs/>
          <w:sz w:val="28"/>
          <w:szCs w:val="28"/>
          <w:bdr w:val="none" w:sz="0" w:space="0" w:color="auto" w:frame="1"/>
          <w:lang w:val="uk-UA"/>
        </w:rPr>
        <w:t>у власність територіальної громади Середнянської селищної ради Ужгородського району Закарпатської області</w:t>
      </w:r>
    </w:p>
    <w:p w:rsidR="00525DE9" w:rsidRPr="00883956" w:rsidRDefault="00525DE9" w:rsidP="00525DE9">
      <w:pPr>
        <w:rPr>
          <w:sz w:val="28"/>
          <w:szCs w:val="28"/>
          <w:lang w:val="uk-UA"/>
        </w:rPr>
      </w:pPr>
    </w:p>
    <w:tbl>
      <w:tblPr>
        <w:tblW w:w="9625" w:type="dxa"/>
        <w:tblLook w:val="04A0" w:firstRow="1" w:lastRow="0" w:firstColumn="1" w:lastColumn="0" w:noHBand="0" w:noVBand="1"/>
      </w:tblPr>
      <w:tblGrid>
        <w:gridCol w:w="3616"/>
        <w:gridCol w:w="795"/>
        <w:gridCol w:w="5214"/>
      </w:tblGrid>
      <w:tr w:rsidR="00525DE9" w:rsidRPr="00051670" w:rsidTr="00865E7C">
        <w:trPr>
          <w:trHeight w:val="420"/>
        </w:trPr>
        <w:tc>
          <w:tcPr>
            <w:tcW w:w="9625" w:type="dxa"/>
            <w:gridSpan w:val="3"/>
            <w:shd w:val="clear" w:color="auto" w:fill="auto"/>
          </w:tcPr>
          <w:p w:rsidR="00525DE9" w:rsidRPr="00051670" w:rsidRDefault="00525DE9" w:rsidP="00865E7C">
            <w:pPr>
              <w:jc w:val="center"/>
              <w:outlineLvl w:val="0"/>
              <w:rPr>
                <w:b/>
                <w:sz w:val="28"/>
                <w:szCs w:val="28"/>
              </w:rPr>
            </w:pPr>
            <w:r w:rsidRPr="00051670">
              <w:rPr>
                <w:color w:val="000000"/>
                <w:sz w:val="28"/>
                <w:szCs w:val="28"/>
              </w:rPr>
              <w:t>Голова комісії:</w:t>
            </w:r>
          </w:p>
        </w:tc>
      </w:tr>
      <w:tr w:rsidR="00525DE9" w:rsidRPr="00051670" w:rsidTr="00865E7C">
        <w:trPr>
          <w:trHeight w:val="648"/>
        </w:trPr>
        <w:tc>
          <w:tcPr>
            <w:tcW w:w="3616" w:type="dxa"/>
            <w:shd w:val="clear" w:color="auto" w:fill="auto"/>
          </w:tcPr>
          <w:p w:rsidR="00525DE9" w:rsidRPr="00352FA6" w:rsidRDefault="00525DE9" w:rsidP="00865E7C">
            <w:pPr>
              <w:rPr>
                <w:rFonts w:eastAsia="Calibri"/>
                <w:sz w:val="28"/>
                <w:szCs w:val="28"/>
                <w:lang w:eastAsia="en-US"/>
              </w:rPr>
            </w:pPr>
            <w:r w:rsidRPr="00352FA6">
              <w:rPr>
                <w:rFonts w:eastAsia="Calibri"/>
                <w:sz w:val="28"/>
                <w:szCs w:val="28"/>
                <w:lang w:eastAsia="en-US"/>
              </w:rPr>
              <w:t>Шелельо Віктор Борисович</w:t>
            </w:r>
          </w:p>
          <w:p w:rsidR="00525DE9" w:rsidRPr="00051670" w:rsidRDefault="00525DE9" w:rsidP="00865E7C">
            <w:pPr>
              <w:autoSpaceDN w:val="0"/>
              <w:rPr>
                <w:rFonts w:eastAsia="Calibri"/>
                <w:b/>
                <w:sz w:val="28"/>
                <w:szCs w:val="28"/>
                <w:lang w:eastAsia="en-US"/>
              </w:rPr>
            </w:pPr>
          </w:p>
        </w:tc>
        <w:tc>
          <w:tcPr>
            <w:tcW w:w="795" w:type="dxa"/>
            <w:shd w:val="clear" w:color="auto" w:fill="auto"/>
          </w:tcPr>
          <w:p w:rsidR="00525DE9" w:rsidRPr="00051670" w:rsidRDefault="00525DE9" w:rsidP="00865E7C">
            <w:pPr>
              <w:autoSpaceDN w:val="0"/>
              <w:jc w:val="center"/>
              <w:outlineLvl w:val="0"/>
              <w:rPr>
                <w:rFonts w:eastAsia="Calibri"/>
                <w:b/>
                <w:sz w:val="28"/>
                <w:szCs w:val="28"/>
                <w:lang w:eastAsia="en-US"/>
              </w:rPr>
            </w:pPr>
          </w:p>
        </w:tc>
        <w:tc>
          <w:tcPr>
            <w:tcW w:w="5214" w:type="dxa"/>
            <w:shd w:val="clear" w:color="auto" w:fill="auto"/>
          </w:tcPr>
          <w:p w:rsidR="00525DE9" w:rsidRPr="00051670" w:rsidRDefault="00525DE9" w:rsidP="00865E7C">
            <w:pPr>
              <w:autoSpaceDN w:val="0"/>
              <w:ind w:left="267"/>
              <w:jc w:val="both"/>
              <w:outlineLvl w:val="0"/>
              <w:rPr>
                <w:rFonts w:eastAsia="Calibri"/>
                <w:sz w:val="28"/>
                <w:szCs w:val="28"/>
                <w:lang w:eastAsia="en-US"/>
              </w:rPr>
            </w:pPr>
            <w:r>
              <w:rPr>
                <w:rFonts w:eastAsia="Calibri"/>
                <w:sz w:val="28"/>
                <w:szCs w:val="28"/>
                <w:lang w:val="uk-UA" w:eastAsia="en-US"/>
              </w:rPr>
              <w:t>керуючий справами</w:t>
            </w:r>
            <w:r w:rsidRPr="00051670">
              <w:rPr>
                <w:rFonts w:eastAsia="Calibri"/>
                <w:sz w:val="28"/>
                <w:szCs w:val="28"/>
                <w:lang w:eastAsia="en-US"/>
              </w:rPr>
              <w:t xml:space="preserve"> виконавчого апарату</w:t>
            </w:r>
            <w:r>
              <w:rPr>
                <w:rFonts w:eastAsia="Calibri"/>
                <w:sz w:val="28"/>
                <w:szCs w:val="28"/>
                <w:lang w:val="uk-UA" w:eastAsia="en-US"/>
              </w:rPr>
              <w:t xml:space="preserve"> Ужгородської</w:t>
            </w:r>
            <w:r w:rsidRPr="00051670">
              <w:rPr>
                <w:rFonts w:eastAsia="Calibri"/>
                <w:sz w:val="28"/>
                <w:szCs w:val="28"/>
                <w:lang w:eastAsia="en-US"/>
              </w:rPr>
              <w:t xml:space="preserve"> районної ради</w:t>
            </w:r>
          </w:p>
        </w:tc>
      </w:tr>
      <w:tr w:rsidR="00525DE9" w:rsidRPr="00051670" w:rsidTr="00865E7C">
        <w:trPr>
          <w:trHeight w:val="960"/>
        </w:trPr>
        <w:tc>
          <w:tcPr>
            <w:tcW w:w="9625" w:type="dxa"/>
            <w:gridSpan w:val="3"/>
            <w:shd w:val="clear" w:color="auto" w:fill="auto"/>
          </w:tcPr>
          <w:tbl>
            <w:tblPr>
              <w:tblW w:w="9409" w:type="dxa"/>
              <w:tblLook w:val="04A0" w:firstRow="1" w:lastRow="0" w:firstColumn="1" w:lastColumn="0" w:noHBand="0" w:noVBand="1"/>
            </w:tblPr>
            <w:tblGrid>
              <w:gridCol w:w="3027"/>
              <w:gridCol w:w="1861"/>
              <w:gridCol w:w="4521"/>
            </w:tblGrid>
            <w:tr w:rsidR="00525DE9" w:rsidRPr="00051670" w:rsidTr="00865E7C">
              <w:trPr>
                <w:trHeight w:val="312"/>
              </w:trPr>
              <w:tc>
                <w:tcPr>
                  <w:tcW w:w="3027" w:type="dxa"/>
                  <w:shd w:val="clear" w:color="auto" w:fill="auto"/>
                </w:tcPr>
                <w:p w:rsidR="00525DE9" w:rsidRPr="00051670" w:rsidRDefault="00525DE9" w:rsidP="00865E7C">
                  <w:pPr>
                    <w:rPr>
                      <w:sz w:val="28"/>
                      <w:szCs w:val="28"/>
                    </w:rPr>
                  </w:pPr>
                </w:p>
              </w:tc>
              <w:tc>
                <w:tcPr>
                  <w:tcW w:w="1861" w:type="dxa"/>
                  <w:shd w:val="clear" w:color="auto" w:fill="auto"/>
                </w:tcPr>
                <w:p w:rsidR="00525DE9" w:rsidRPr="00051670" w:rsidRDefault="00525DE9" w:rsidP="00865E7C">
                  <w:pPr>
                    <w:jc w:val="center"/>
                    <w:outlineLvl w:val="0"/>
                    <w:rPr>
                      <w:b/>
                      <w:sz w:val="28"/>
                      <w:szCs w:val="28"/>
                    </w:rPr>
                  </w:pPr>
                </w:p>
              </w:tc>
              <w:tc>
                <w:tcPr>
                  <w:tcW w:w="4521" w:type="dxa"/>
                  <w:shd w:val="clear" w:color="auto" w:fill="auto"/>
                </w:tcPr>
                <w:p w:rsidR="00525DE9" w:rsidRPr="00051670" w:rsidRDefault="00525DE9" w:rsidP="00865E7C">
                  <w:pPr>
                    <w:outlineLvl w:val="0"/>
                    <w:rPr>
                      <w:sz w:val="28"/>
                      <w:szCs w:val="28"/>
                    </w:rPr>
                  </w:pPr>
                </w:p>
              </w:tc>
            </w:tr>
          </w:tbl>
          <w:p w:rsidR="00525DE9" w:rsidRPr="00051670" w:rsidRDefault="00525DE9" w:rsidP="00865E7C">
            <w:pPr>
              <w:jc w:val="both"/>
              <w:outlineLvl w:val="0"/>
              <w:rPr>
                <w:color w:val="000000"/>
                <w:sz w:val="28"/>
                <w:szCs w:val="28"/>
              </w:rPr>
            </w:pPr>
          </w:p>
          <w:p w:rsidR="00525DE9" w:rsidRDefault="00525DE9" w:rsidP="00865E7C">
            <w:pPr>
              <w:jc w:val="center"/>
              <w:outlineLvl w:val="0"/>
              <w:rPr>
                <w:color w:val="000000"/>
                <w:sz w:val="28"/>
                <w:szCs w:val="28"/>
              </w:rPr>
            </w:pPr>
            <w:r w:rsidRPr="00051670">
              <w:rPr>
                <w:color w:val="000000"/>
                <w:sz w:val="28"/>
                <w:szCs w:val="28"/>
              </w:rPr>
              <w:t>Члени комісії:</w:t>
            </w:r>
          </w:p>
          <w:p w:rsidR="00525DE9" w:rsidRPr="00051670" w:rsidRDefault="00525DE9" w:rsidP="00865E7C">
            <w:pPr>
              <w:jc w:val="center"/>
              <w:outlineLvl w:val="0"/>
              <w:rPr>
                <w:b/>
                <w:sz w:val="28"/>
                <w:szCs w:val="28"/>
              </w:rPr>
            </w:pPr>
          </w:p>
        </w:tc>
      </w:tr>
      <w:tr w:rsidR="00525DE9" w:rsidRPr="00051670" w:rsidTr="00865E7C">
        <w:trPr>
          <w:trHeight w:val="3121"/>
        </w:trPr>
        <w:tc>
          <w:tcPr>
            <w:tcW w:w="3616" w:type="dxa"/>
            <w:shd w:val="clear" w:color="auto" w:fill="auto"/>
          </w:tcPr>
          <w:p w:rsidR="00525DE9" w:rsidRPr="006E3CE7" w:rsidRDefault="00525DE9" w:rsidP="00865E7C">
            <w:pPr>
              <w:rPr>
                <w:b/>
                <w:bCs/>
                <w:sz w:val="28"/>
                <w:szCs w:val="28"/>
                <w:lang w:val="uk-UA"/>
              </w:rPr>
            </w:pPr>
            <w:r>
              <w:rPr>
                <w:color w:val="000000"/>
                <w:sz w:val="28"/>
                <w:szCs w:val="28"/>
                <w:lang w:val="uk-UA"/>
              </w:rPr>
              <w:t>Олефір Гелена Іванівна</w:t>
            </w:r>
          </w:p>
          <w:p w:rsidR="00525DE9" w:rsidRDefault="00525DE9" w:rsidP="00865E7C">
            <w:pPr>
              <w:rPr>
                <w:b/>
                <w:bCs/>
                <w:sz w:val="28"/>
                <w:szCs w:val="28"/>
              </w:rPr>
            </w:pPr>
          </w:p>
          <w:p w:rsidR="00525DE9" w:rsidRDefault="00525DE9" w:rsidP="00865E7C">
            <w:pPr>
              <w:rPr>
                <w:b/>
                <w:bCs/>
                <w:sz w:val="28"/>
                <w:szCs w:val="28"/>
              </w:rPr>
            </w:pPr>
          </w:p>
          <w:p w:rsidR="00525DE9" w:rsidRDefault="00525DE9" w:rsidP="00865E7C">
            <w:pPr>
              <w:rPr>
                <w:b/>
                <w:bCs/>
                <w:sz w:val="28"/>
                <w:szCs w:val="28"/>
              </w:rPr>
            </w:pPr>
          </w:p>
          <w:p w:rsidR="00525DE9" w:rsidRDefault="00525DE9" w:rsidP="00865E7C">
            <w:pPr>
              <w:rPr>
                <w:b/>
                <w:bCs/>
                <w:sz w:val="28"/>
                <w:szCs w:val="28"/>
              </w:rPr>
            </w:pPr>
          </w:p>
          <w:p w:rsidR="00525DE9" w:rsidRDefault="00525DE9" w:rsidP="00865E7C">
            <w:pPr>
              <w:rPr>
                <w:b/>
                <w:bCs/>
                <w:sz w:val="28"/>
                <w:szCs w:val="28"/>
              </w:rPr>
            </w:pPr>
          </w:p>
          <w:p w:rsidR="00525DE9" w:rsidRPr="00051670" w:rsidRDefault="00525DE9" w:rsidP="00865E7C">
            <w:pPr>
              <w:rPr>
                <w:b/>
                <w:bCs/>
                <w:sz w:val="28"/>
                <w:szCs w:val="28"/>
              </w:rPr>
            </w:pPr>
          </w:p>
          <w:p w:rsidR="00525DE9" w:rsidRPr="006E3CE7" w:rsidRDefault="00525DE9" w:rsidP="00865E7C">
            <w:pPr>
              <w:rPr>
                <w:bCs/>
                <w:sz w:val="28"/>
                <w:szCs w:val="28"/>
                <w:lang w:val="uk-UA"/>
              </w:rPr>
            </w:pPr>
            <w:r>
              <w:rPr>
                <w:bCs/>
                <w:sz w:val="28"/>
                <w:szCs w:val="28"/>
                <w:lang w:val="uk-UA"/>
              </w:rPr>
              <w:t>Дуброва Галина Іванівна</w:t>
            </w:r>
          </w:p>
          <w:p w:rsidR="00525DE9" w:rsidRDefault="00525DE9" w:rsidP="00865E7C">
            <w:pPr>
              <w:rPr>
                <w:bCs/>
                <w:sz w:val="28"/>
                <w:szCs w:val="28"/>
              </w:rPr>
            </w:pPr>
          </w:p>
          <w:p w:rsidR="00525DE9" w:rsidRDefault="00525DE9" w:rsidP="00865E7C">
            <w:pPr>
              <w:rPr>
                <w:bCs/>
                <w:sz w:val="28"/>
                <w:szCs w:val="28"/>
              </w:rPr>
            </w:pPr>
          </w:p>
          <w:p w:rsidR="00525DE9" w:rsidRDefault="00525DE9" w:rsidP="00865E7C">
            <w:pPr>
              <w:rPr>
                <w:bCs/>
                <w:sz w:val="28"/>
                <w:szCs w:val="28"/>
              </w:rPr>
            </w:pPr>
          </w:p>
          <w:p w:rsidR="00525DE9" w:rsidRDefault="00525DE9" w:rsidP="00865E7C">
            <w:pPr>
              <w:rPr>
                <w:bCs/>
                <w:sz w:val="28"/>
                <w:szCs w:val="28"/>
              </w:rPr>
            </w:pPr>
          </w:p>
          <w:p w:rsidR="00525DE9" w:rsidRPr="00051670" w:rsidRDefault="00525DE9" w:rsidP="00865E7C">
            <w:pPr>
              <w:rPr>
                <w:bCs/>
                <w:sz w:val="28"/>
                <w:szCs w:val="28"/>
              </w:rPr>
            </w:pPr>
          </w:p>
          <w:p w:rsidR="00525DE9" w:rsidRPr="00051670" w:rsidRDefault="00525DE9" w:rsidP="00865E7C">
            <w:pPr>
              <w:rPr>
                <w:bCs/>
                <w:sz w:val="28"/>
                <w:szCs w:val="28"/>
              </w:rPr>
            </w:pPr>
            <w:r>
              <w:rPr>
                <w:bCs/>
                <w:sz w:val="28"/>
                <w:szCs w:val="28"/>
              </w:rPr>
              <w:t>Шестаков Юрій Олександрович</w:t>
            </w:r>
          </w:p>
          <w:p w:rsidR="00525DE9" w:rsidRPr="00051670" w:rsidRDefault="00525DE9" w:rsidP="00865E7C">
            <w:pPr>
              <w:rPr>
                <w:bCs/>
                <w:sz w:val="28"/>
                <w:szCs w:val="28"/>
              </w:rPr>
            </w:pPr>
          </w:p>
          <w:p w:rsidR="00525DE9" w:rsidRDefault="00525DE9" w:rsidP="00865E7C">
            <w:pPr>
              <w:rPr>
                <w:bCs/>
                <w:sz w:val="28"/>
                <w:szCs w:val="28"/>
              </w:rPr>
            </w:pPr>
          </w:p>
          <w:p w:rsidR="00525DE9" w:rsidRDefault="00525DE9" w:rsidP="00865E7C">
            <w:pPr>
              <w:rPr>
                <w:bCs/>
                <w:sz w:val="28"/>
                <w:szCs w:val="28"/>
              </w:rPr>
            </w:pPr>
          </w:p>
          <w:p w:rsidR="00525DE9" w:rsidRDefault="00525DE9" w:rsidP="00865E7C">
            <w:pPr>
              <w:rPr>
                <w:bCs/>
                <w:sz w:val="28"/>
                <w:szCs w:val="28"/>
              </w:rPr>
            </w:pPr>
          </w:p>
          <w:p w:rsidR="00525DE9" w:rsidRPr="00051670" w:rsidRDefault="00525DE9" w:rsidP="00865E7C">
            <w:pPr>
              <w:rPr>
                <w:bCs/>
                <w:sz w:val="28"/>
                <w:szCs w:val="28"/>
              </w:rPr>
            </w:pPr>
          </w:p>
          <w:p w:rsidR="00525DE9" w:rsidRPr="006E3CE7" w:rsidRDefault="00525DE9" w:rsidP="00865E7C">
            <w:pPr>
              <w:rPr>
                <w:bCs/>
                <w:sz w:val="28"/>
                <w:szCs w:val="28"/>
                <w:lang w:val="uk-UA"/>
              </w:rPr>
            </w:pPr>
            <w:r>
              <w:rPr>
                <w:bCs/>
                <w:sz w:val="28"/>
                <w:szCs w:val="28"/>
                <w:lang w:val="uk-UA"/>
              </w:rPr>
              <w:t>Арендацька Наталія Анатоліївна</w:t>
            </w:r>
          </w:p>
          <w:p w:rsidR="00525DE9" w:rsidRPr="00051670" w:rsidRDefault="00525DE9" w:rsidP="00865E7C">
            <w:pPr>
              <w:rPr>
                <w:bCs/>
                <w:sz w:val="28"/>
                <w:szCs w:val="28"/>
              </w:rPr>
            </w:pPr>
          </w:p>
          <w:p w:rsidR="00525DE9" w:rsidRDefault="00525DE9" w:rsidP="00865E7C">
            <w:pPr>
              <w:rPr>
                <w:bCs/>
                <w:sz w:val="28"/>
                <w:szCs w:val="28"/>
              </w:rPr>
            </w:pPr>
          </w:p>
          <w:p w:rsidR="00525DE9" w:rsidRDefault="00525DE9" w:rsidP="00865E7C">
            <w:pPr>
              <w:rPr>
                <w:bCs/>
                <w:sz w:val="28"/>
                <w:szCs w:val="28"/>
              </w:rPr>
            </w:pPr>
          </w:p>
          <w:p w:rsidR="00525DE9" w:rsidRPr="00051670" w:rsidRDefault="00525DE9" w:rsidP="00865E7C">
            <w:pPr>
              <w:rPr>
                <w:b/>
                <w:sz w:val="28"/>
                <w:szCs w:val="28"/>
              </w:rPr>
            </w:pPr>
            <w:r>
              <w:rPr>
                <w:b/>
                <w:sz w:val="28"/>
                <w:szCs w:val="28"/>
              </w:rPr>
              <w:t xml:space="preserve">      </w:t>
            </w:r>
            <w:r w:rsidRPr="00051670">
              <w:rPr>
                <w:b/>
                <w:sz w:val="28"/>
                <w:szCs w:val="28"/>
              </w:rPr>
              <w:t xml:space="preserve">                                                                 </w:t>
            </w:r>
          </w:p>
        </w:tc>
        <w:tc>
          <w:tcPr>
            <w:tcW w:w="795" w:type="dxa"/>
            <w:shd w:val="clear" w:color="auto" w:fill="auto"/>
          </w:tcPr>
          <w:p w:rsidR="00525DE9" w:rsidRPr="00051670" w:rsidRDefault="00525DE9" w:rsidP="00865E7C">
            <w:pPr>
              <w:jc w:val="center"/>
              <w:outlineLvl w:val="0"/>
              <w:rPr>
                <w:b/>
                <w:sz w:val="28"/>
                <w:szCs w:val="28"/>
              </w:rPr>
            </w:pPr>
          </w:p>
        </w:tc>
        <w:tc>
          <w:tcPr>
            <w:tcW w:w="5214" w:type="dxa"/>
            <w:shd w:val="clear" w:color="auto" w:fill="auto"/>
          </w:tcPr>
          <w:p w:rsidR="00525DE9" w:rsidRPr="006E3CE7" w:rsidRDefault="00525DE9" w:rsidP="00865E7C">
            <w:pPr>
              <w:ind w:left="267"/>
              <w:rPr>
                <w:b/>
                <w:color w:val="000000"/>
                <w:sz w:val="28"/>
                <w:szCs w:val="28"/>
                <w:lang w:val="uk-UA"/>
              </w:rPr>
            </w:pPr>
            <w:r>
              <w:rPr>
                <w:color w:val="000000"/>
                <w:sz w:val="28"/>
                <w:szCs w:val="28"/>
                <w:lang w:val="uk-UA"/>
              </w:rPr>
              <w:t xml:space="preserve">головний бухгалтер  </w:t>
            </w:r>
            <w:r w:rsidRPr="00164AD4">
              <w:rPr>
                <w:color w:val="000000"/>
                <w:sz w:val="28"/>
                <w:szCs w:val="28"/>
                <w:lang w:val="uk-UA"/>
              </w:rPr>
              <w:t>відділу з питань комунального майна та фінансов</w:t>
            </w:r>
            <w:r>
              <w:rPr>
                <w:color w:val="000000"/>
                <w:sz w:val="28"/>
                <w:szCs w:val="28"/>
                <w:lang w:val="uk-UA"/>
              </w:rPr>
              <w:t xml:space="preserve">о-господарського забезпечення </w:t>
            </w:r>
            <w:r w:rsidRPr="00164AD4">
              <w:rPr>
                <w:color w:val="000000"/>
                <w:sz w:val="28"/>
                <w:szCs w:val="28"/>
                <w:lang w:val="uk-UA"/>
              </w:rPr>
              <w:t>виконавчого апарату Ужгородської районної ради</w:t>
            </w:r>
          </w:p>
          <w:p w:rsidR="00525DE9" w:rsidRPr="00051670" w:rsidRDefault="00525DE9" w:rsidP="00865E7C">
            <w:pPr>
              <w:ind w:left="267"/>
              <w:outlineLvl w:val="0"/>
              <w:rPr>
                <w:sz w:val="28"/>
                <w:szCs w:val="28"/>
              </w:rPr>
            </w:pPr>
          </w:p>
          <w:p w:rsidR="00525DE9" w:rsidRPr="00051670" w:rsidRDefault="00525DE9" w:rsidP="00865E7C">
            <w:pPr>
              <w:ind w:left="267"/>
              <w:rPr>
                <w:bCs/>
                <w:sz w:val="28"/>
                <w:szCs w:val="28"/>
              </w:rPr>
            </w:pPr>
          </w:p>
          <w:p w:rsidR="00525DE9" w:rsidRPr="006E3CE7" w:rsidRDefault="00525DE9" w:rsidP="00865E7C">
            <w:pPr>
              <w:ind w:left="267"/>
              <w:rPr>
                <w:b/>
                <w:color w:val="000000"/>
                <w:sz w:val="28"/>
                <w:szCs w:val="28"/>
                <w:lang w:val="uk-UA"/>
              </w:rPr>
            </w:pPr>
            <w:r>
              <w:rPr>
                <w:color w:val="000000"/>
                <w:sz w:val="28"/>
                <w:szCs w:val="28"/>
                <w:lang w:val="uk-UA"/>
              </w:rPr>
              <w:t xml:space="preserve">головний спеціаліст  </w:t>
            </w:r>
            <w:r w:rsidRPr="00164AD4">
              <w:rPr>
                <w:color w:val="000000"/>
                <w:sz w:val="28"/>
                <w:szCs w:val="28"/>
                <w:lang w:val="uk-UA"/>
              </w:rPr>
              <w:t>відділу з питань комунального майна та фінансов</w:t>
            </w:r>
            <w:r>
              <w:rPr>
                <w:color w:val="000000"/>
                <w:sz w:val="28"/>
                <w:szCs w:val="28"/>
                <w:lang w:val="uk-UA"/>
              </w:rPr>
              <w:t xml:space="preserve">о-господарського забезпечення </w:t>
            </w:r>
            <w:r w:rsidRPr="00164AD4">
              <w:rPr>
                <w:color w:val="000000"/>
                <w:sz w:val="28"/>
                <w:szCs w:val="28"/>
                <w:lang w:val="uk-UA"/>
              </w:rPr>
              <w:t>виконавчого апарату Ужгородської районної ради</w:t>
            </w:r>
          </w:p>
          <w:p w:rsidR="00525DE9" w:rsidRPr="006E3CE7" w:rsidRDefault="00525DE9" w:rsidP="00865E7C">
            <w:pPr>
              <w:ind w:left="267"/>
              <w:rPr>
                <w:bCs/>
                <w:sz w:val="28"/>
                <w:szCs w:val="28"/>
                <w:lang w:val="uk-UA"/>
              </w:rPr>
            </w:pPr>
          </w:p>
          <w:p w:rsidR="00525DE9" w:rsidRPr="00051670" w:rsidRDefault="00525DE9" w:rsidP="00865E7C">
            <w:pPr>
              <w:ind w:left="267"/>
              <w:rPr>
                <w:bCs/>
                <w:sz w:val="28"/>
                <w:szCs w:val="28"/>
              </w:rPr>
            </w:pPr>
            <w:r>
              <w:rPr>
                <w:bCs/>
                <w:sz w:val="28"/>
                <w:szCs w:val="28"/>
              </w:rPr>
              <w:t>начальник відділу комунальної власності, житлово-комунального господарства, інвестицій та соціально-економічного розвитку апарату Середнянської селищної ради та її виконавчих органів</w:t>
            </w:r>
          </w:p>
          <w:p w:rsidR="00525DE9" w:rsidRDefault="00525DE9" w:rsidP="00865E7C">
            <w:pPr>
              <w:rPr>
                <w:bCs/>
                <w:sz w:val="28"/>
                <w:szCs w:val="28"/>
              </w:rPr>
            </w:pPr>
          </w:p>
          <w:p w:rsidR="00525DE9" w:rsidRPr="001522F4" w:rsidRDefault="00525DE9" w:rsidP="00865E7C">
            <w:pPr>
              <w:ind w:left="267"/>
              <w:rPr>
                <w:bCs/>
                <w:sz w:val="28"/>
                <w:szCs w:val="28"/>
                <w:lang w:val="uk-UA"/>
              </w:rPr>
            </w:pPr>
            <w:r>
              <w:rPr>
                <w:bCs/>
                <w:sz w:val="28"/>
                <w:szCs w:val="28"/>
              </w:rPr>
              <w:t>начальник відділу бухгалтерського обліку та звітності апарату Середнянської селищної ради</w:t>
            </w:r>
            <w:r>
              <w:rPr>
                <w:bCs/>
                <w:sz w:val="28"/>
                <w:szCs w:val="28"/>
                <w:lang w:val="uk-UA"/>
              </w:rPr>
              <w:t xml:space="preserve"> та її виконавчого апарату</w:t>
            </w:r>
          </w:p>
          <w:p w:rsidR="00525DE9" w:rsidRPr="00051670" w:rsidRDefault="00525DE9" w:rsidP="00865E7C">
            <w:pPr>
              <w:ind w:left="267"/>
              <w:rPr>
                <w:bCs/>
                <w:sz w:val="28"/>
                <w:szCs w:val="28"/>
              </w:rPr>
            </w:pPr>
          </w:p>
          <w:p w:rsidR="00525DE9" w:rsidRPr="00051670" w:rsidRDefault="00525DE9" w:rsidP="00865E7C">
            <w:pPr>
              <w:ind w:left="267"/>
              <w:rPr>
                <w:sz w:val="28"/>
                <w:szCs w:val="28"/>
              </w:rPr>
            </w:pPr>
          </w:p>
        </w:tc>
      </w:tr>
    </w:tbl>
    <w:p w:rsidR="00525DE9" w:rsidRPr="00883956" w:rsidRDefault="00525DE9" w:rsidP="00525DE9">
      <w:pPr>
        <w:ind w:right="-284"/>
        <w:rPr>
          <w:b/>
          <w:sz w:val="28"/>
          <w:szCs w:val="28"/>
        </w:rPr>
      </w:pPr>
    </w:p>
    <w:p w:rsidR="00525DE9" w:rsidRDefault="00525DE9" w:rsidP="00525DE9">
      <w:pPr>
        <w:ind w:right="-284"/>
        <w:rPr>
          <w:b/>
          <w:sz w:val="28"/>
          <w:szCs w:val="28"/>
          <w:lang w:val="uk-UA"/>
        </w:rPr>
      </w:pPr>
    </w:p>
    <w:p w:rsidR="00525DE9" w:rsidRDefault="00525DE9" w:rsidP="00525DE9">
      <w:pPr>
        <w:ind w:right="-284"/>
        <w:rPr>
          <w:b/>
          <w:sz w:val="28"/>
          <w:szCs w:val="28"/>
          <w:lang w:val="uk-UA"/>
        </w:rPr>
      </w:pPr>
    </w:p>
    <w:p w:rsidR="00525DE9" w:rsidRPr="006E3CE7" w:rsidRDefault="00525DE9" w:rsidP="00525DE9">
      <w:pPr>
        <w:pStyle w:val="a3"/>
        <w:shd w:val="clear" w:color="auto" w:fill="FFFFFF"/>
        <w:spacing w:before="0" w:beforeAutospacing="0" w:after="0" w:afterAutospacing="0"/>
        <w:ind w:right="-284"/>
        <w:jc w:val="both"/>
        <w:rPr>
          <w:color w:val="242B2E"/>
          <w:sz w:val="28"/>
          <w:szCs w:val="28"/>
          <w:lang w:val="uk-UA"/>
        </w:rPr>
      </w:pPr>
      <w:r w:rsidRPr="00F63784">
        <w:rPr>
          <w:rStyle w:val="a5"/>
          <w:bCs/>
          <w:color w:val="000000"/>
          <w:sz w:val="28"/>
          <w:szCs w:val="28"/>
          <w:lang w:val="uk-UA"/>
        </w:rPr>
        <w:t>Голова ради</w:t>
      </w:r>
      <w:r w:rsidRPr="00F63784">
        <w:rPr>
          <w:rStyle w:val="a5"/>
          <w:bCs/>
          <w:color w:val="000000"/>
          <w:sz w:val="28"/>
          <w:szCs w:val="28"/>
          <w:lang w:val="uk-UA"/>
        </w:rPr>
        <w:tab/>
      </w:r>
      <w:r w:rsidRPr="00F63784">
        <w:rPr>
          <w:rStyle w:val="a5"/>
          <w:bCs/>
          <w:color w:val="000000"/>
          <w:sz w:val="28"/>
          <w:szCs w:val="28"/>
          <w:lang w:val="uk-UA"/>
        </w:rPr>
        <w:tab/>
      </w:r>
      <w:r w:rsidRPr="00F63784">
        <w:rPr>
          <w:rStyle w:val="a5"/>
          <w:bCs/>
          <w:color w:val="000000"/>
          <w:sz w:val="28"/>
          <w:szCs w:val="28"/>
          <w:lang w:val="uk-UA"/>
        </w:rPr>
        <w:tab/>
      </w:r>
      <w:r w:rsidRPr="00F63784">
        <w:rPr>
          <w:rStyle w:val="a5"/>
          <w:bCs/>
          <w:color w:val="000000"/>
          <w:sz w:val="28"/>
          <w:szCs w:val="28"/>
          <w:lang w:val="uk-UA"/>
        </w:rPr>
        <w:tab/>
      </w:r>
      <w:r w:rsidRPr="00F63784">
        <w:rPr>
          <w:rStyle w:val="a5"/>
          <w:bCs/>
          <w:color w:val="000000"/>
          <w:sz w:val="28"/>
          <w:szCs w:val="28"/>
          <w:lang w:val="uk-UA"/>
        </w:rPr>
        <w:tab/>
      </w:r>
      <w:r w:rsidRPr="00F63784">
        <w:rPr>
          <w:rStyle w:val="a5"/>
          <w:bCs/>
          <w:color w:val="000000"/>
          <w:sz w:val="28"/>
          <w:szCs w:val="28"/>
          <w:lang w:val="uk-UA"/>
        </w:rPr>
        <w:tab/>
      </w:r>
      <w:r w:rsidRPr="00F63784">
        <w:rPr>
          <w:rStyle w:val="a5"/>
          <w:bCs/>
          <w:color w:val="000000"/>
          <w:sz w:val="28"/>
          <w:szCs w:val="28"/>
          <w:lang w:val="uk-UA"/>
        </w:rPr>
        <w:tab/>
        <w:t xml:space="preserve">    </w:t>
      </w:r>
      <w:r w:rsidRPr="00F63784">
        <w:rPr>
          <w:rStyle w:val="a5"/>
          <w:bCs/>
          <w:color w:val="000000"/>
          <w:sz w:val="28"/>
          <w:szCs w:val="28"/>
          <w:lang w:val="uk-UA"/>
        </w:rPr>
        <w:tab/>
        <w:t>Юрій ФРІНЦКО</w:t>
      </w:r>
    </w:p>
    <w:p w:rsidR="00A922CD" w:rsidRDefault="00A922CD">
      <w:bookmarkStart w:id="0" w:name="_GoBack"/>
      <w:bookmarkEnd w:id="0"/>
    </w:p>
    <w:sectPr w:rsidR="00A922CD" w:rsidSect="00750491">
      <w:pgSz w:w="11906" w:h="16838"/>
      <w:pgMar w:top="851" w:right="707"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7E3DB7"/>
    <w:rsid w:val="00525DE9"/>
    <w:rsid w:val="007E3DB7"/>
    <w:rsid w:val="00A922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6D518-DE46-4BAB-B88D-9753D885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DE9"/>
    <w:pPr>
      <w:widowControl w:val="0"/>
      <w:suppressAutoHyphens/>
      <w:autoSpaceDE w:val="0"/>
      <w:spacing w:after="0" w:line="240" w:lineRule="auto"/>
    </w:pPr>
    <w:rPr>
      <w:rFonts w:ascii="Times New Roman" w:eastAsia="Times New Roman" w:hAnsi="Times New Roman" w:cs="Times New Roman"/>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525DE9"/>
    <w:pPr>
      <w:widowControl/>
      <w:suppressAutoHyphens w:val="0"/>
      <w:autoSpaceDE/>
      <w:spacing w:before="100" w:beforeAutospacing="1" w:after="100" w:afterAutospacing="1"/>
    </w:pPr>
    <w:rPr>
      <w:rFonts w:eastAsia="Calibri"/>
      <w:sz w:val="24"/>
      <w:lang w:eastAsia="ru-RU"/>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525DE9"/>
    <w:rPr>
      <w:rFonts w:ascii="Times New Roman" w:eastAsia="Calibri" w:hAnsi="Times New Roman" w:cs="Times New Roman"/>
      <w:sz w:val="24"/>
      <w:szCs w:val="20"/>
      <w:lang w:val="ru-RU" w:eastAsia="ru-RU"/>
    </w:rPr>
  </w:style>
  <w:style w:type="character" w:styleId="a5">
    <w:name w:val="Strong"/>
    <w:basedOn w:val="a0"/>
    <w:uiPriority w:val="99"/>
    <w:qFormat/>
    <w:rsid w:val="00525DE9"/>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429</Characters>
  <Application>Microsoft Office Word</Application>
  <DocSecurity>0</DocSecurity>
  <Lines>3</Lines>
  <Paragraphs>2</Paragraphs>
  <ScaleCrop>false</ScaleCrop>
  <Company>Reanimator Extreme Edition</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2024-08-01T12:16:00Z</dcterms:created>
  <dcterms:modified xsi:type="dcterms:W3CDTF">2024-08-01T12:16:00Z</dcterms:modified>
</cp:coreProperties>
</file>